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feca235ef4e6c4e75392346fc09a8bbf7d751"/>
    <w:p>
      <w:pPr>
        <w:pStyle w:val="Heading3"/>
      </w:pPr>
      <w:r>
        <w:t xml:space="preserve">Председатель совета ветеранов СЗАО В. Бережной и его заместитель Н.Овечкин 11 февраля приняли участие в первом дне учебы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11 февраля 2025 г.Председатель совета ветеранов СЗАО В. Бережной и его заместитель Н.Овечкин приняли участие в первом дне учебы, организованной МГСВ, с целью помочь руководителям ветеранских организаций в формировании бесконфликтной среды в коллективах и в отношении обращений граждан.</w:t>
      </w:r>
      <w:r>
        <w:br/>
      </w:r>
      <w:r>
        <w:t xml:space="preserve">Занятия прошли интересно и плодотворно.</w:t>
      </w:r>
      <w:r>
        <w:br/>
      </w:r>
      <w:r>
        <w:t xml:space="preserve">Спасибо Председателю МГСВ Г. И. Пашкову за хорошую организацию занятий.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http://szao.mos.ru/veterans/detail/12803921.html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3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3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2025-02-16T03:18:12Z</dcterms:created>
  <dcterms:modified xsi:type="dcterms:W3CDTF">2025-02-16T03:18:12Z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