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3bbb938da55552a394b9cf8b1172e7f9ef4c19"/>
    <w:p>
      <w:pPr>
        <w:pStyle w:val="Heading3"/>
      </w:pPr>
      <w:r>
        <w:t xml:space="preserve">Протокол по «Проекту внесения изменения в правила землепользования и застройки города Москвы в отношении территории по адресу: ул. 2-я Лыковская, вл.61А, стр.1 (кад. № 77:08:0013010:1408), СЗАО»</w:t>
      </w:r>
    </w:p>
    <w:p>
      <w:pPr>
        <w:pStyle w:val="FirstParagraph"/>
      </w:pPr>
      <w:r>
        <w:t xml:space="preserve">18.12.2017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http://szao.mos.ru/public-hearings/detail/8987590.html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Северо-Западного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zao.mos.ru" TargetMode="External" /><Relationship Type="http://schemas.openxmlformats.org/officeDocument/2006/relationships/hyperlink" Id="rId20" Target="http://szao.mos.ru/public-hearings/detail/89875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zao.mos.ru" TargetMode="External" /><Relationship Type="http://schemas.openxmlformats.org/officeDocument/2006/relationships/hyperlink" Id="rId20" Target="http://szao.mos.ru/public-hearings/detail/89875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2025-04-13T17:12:38Z</dcterms:created>
  <dcterms:modified xsi:type="dcterms:W3CDTF">2025-04-13T17:12:38Z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