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166a8f1dfac9d77e4305e62500e6c546734ee"/>
    <w:p>
      <w:pPr>
        <w:pStyle w:val="Heading3"/>
      </w:pPr>
      <w:r>
        <w:t xml:space="preserve">Протокол по «Проекту внесения изменений в правила землепользования и застройки города Москвы в отношении территории по адресу: г. Москва, промышленно-коммунальная зона «Строгино», пр. № 607 (проспект Маршала Жукова) (кад. № 77:08:0013001:32) (СЗАО)</w:t>
      </w:r>
    </w:p>
    <w:p>
      <w:pPr>
        <w:pStyle w:val="FirstParagraph"/>
      </w:pPr>
      <w:r>
        <w:t xml:space="preserve">28.11.2019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http://szao.mos.ru/public-hearings/detail/8982866.html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28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28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2025-06-28T22:46:35Z</dcterms:created>
  <dcterms:modified xsi:type="dcterms:W3CDTF">2025-06-28T22:46:35Z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