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рк-дубовая-роща-маяк-преобразится"/>
    <w:p>
      <w:pPr>
        <w:pStyle w:val="Heading3"/>
      </w:pPr>
      <w:r>
        <w:t xml:space="preserve">Парк «Дубовая роща «Маяк» преобразится</w:t>
      </w:r>
    </w:p>
    <w:p>
      <w:pPr>
        <w:pStyle w:val="FirstParagraph"/>
      </w:pPr>
      <w:r>
        <w:t xml:space="preserve">07.12.2022</w:t>
      </w:r>
    </w:p>
    <w:p>
      <w:pPr>
        <w:pStyle w:val="BodyText"/>
      </w:pPr>
      <w:r>
        <w:rPr>
          <w:bCs/>
          <w:b/>
        </w:rPr>
        <w:t xml:space="preserve">Благоустроим 123 двора</w:t>
      </w:r>
    </w:p>
    <w:p>
      <w:pPr>
        <w:pStyle w:val="BodyText"/>
      </w:pPr>
      <w:r>
        <w:rPr>
          <w:iCs/>
          <w:i/>
        </w:rPr>
        <w:t xml:space="preserve">— Алексей Анатольевич, в округе начинается благоустройство знаковых объектов. Повлияла ли нынешняя политическая и экономическая ситуация на запланированные объёмы работ? Пришлось ли внести коррективы?</w:t>
      </w:r>
    </w:p>
    <w:p>
      <w:pPr>
        <w:pStyle w:val="BodyText"/>
      </w:pPr>
      <w:r>
        <w:t xml:space="preserve">— Развитие комфортной городской среды — одно из ключевых направлений нашей деятельности. Поэтому мы стараемся уделять особое внимание не только срокам, но и качеству выполнения работ по благоустройству территорий.</w:t>
      </w:r>
    </w:p>
    <w:p>
      <w:pPr>
        <w:pStyle w:val="BodyText"/>
      </w:pPr>
      <w:r>
        <w:t xml:space="preserve">В этом году мы работаем по запланированному графику. Не изменились ни объёмы финансирования, ни перечень запланированных работ. Сейчас благоустраиваем пять знаковых для нашего округа объектов, 123 дворовые территории и 18 объектов образования.</w:t>
      </w:r>
    </w:p>
    <w:p>
      <w:pPr>
        <w:pStyle w:val="BodyText"/>
      </w:pPr>
      <w:r>
        <w:t xml:space="preserve">Один из наиболее масштабных проектов — благоустройство парка «Дубовая роща «Маяк» в районе Южное Тушино. Эта природная территория площадью около 8 гектаров полностью преобразится. Улучшим состояние дорожек и тропинок, основной упор сделаем на создание экологичного покрытия. Оборудуем здесь и экотропу с информационными стендами. Кроме того, обустроим детские и спортивные площадки, высадим деревья и кустарники, обновим площадку для выгула собак.</w:t>
      </w:r>
    </w:p>
    <w:p>
      <w:pPr>
        <w:pStyle w:val="BodyText"/>
      </w:pPr>
      <w:r>
        <w:rPr>
          <w:bCs/>
          <w:b/>
        </w:rPr>
        <w:t xml:space="preserve">Коммунальной техники хватает</w:t>
      </w:r>
    </w:p>
    <w:p>
      <w:pPr>
        <w:pStyle w:val="BodyText"/>
      </w:pPr>
      <w:r>
        <w:rPr>
          <w:iCs/>
          <w:i/>
        </w:rPr>
        <w:t xml:space="preserve">— У коммунальщиков уже начинается подготовка к следующей зиме. Прогнозируете ли вы какие-то сложности с закупкой коммунальной техники, оборудования, расходных материалов, запчастей?</w:t>
      </w:r>
    </w:p>
    <w:p>
      <w:pPr>
        <w:pStyle w:val="BodyText"/>
      </w:pPr>
      <w:r>
        <w:t xml:space="preserve">— Закупать новую технику в этом году мы не планируем. Того, что у нас есть, вполне достаточно для содержания территории и выполнения необходимых технологических операций. Что же касается расходных материалов и основного количества запчастей, они закупаются у отечественных производителей.</w:t>
      </w:r>
    </w:p>
    <w:p>
      <w:pPr>
        <w:pStyle w:val="BodyText"/>
      </w:pPr>
      <w:r>
        <w:rPr>
          <w:bCs/>
          <w:b/>
        </w:rPr>
        <w:t xml:space="preserve">Метро и дороги</w:t>
      </w:r>
    </w:p>
    <w:p>
      <w:pPr>
        <w:pStyle w:val="BodyText"/>
      </w:pPr>
      <w:r>
        <w:rPr>
          <w:iCs/>
          <w:i/>
        </w:rPr>
        <w:t xml:space="preserve">— Влияет ли ситуация на крупные строительные проекты, в первую очередь инфраструктурные?</w:t>
      </w:r>
    </w:p>
    <w:p>
      <w:pPr>
        <w:pStyle w:val="BodyText"/>
      </w:pPr>
      <w:r>
        <w:t xml:space="preserve">— Строительная отрасль не сбавляет темпов. И в первую очередь это касается крупных инфраструктурных проектов. Так, месяц назад началась активная фаза строительства новой Рублёво-Архангельской линии метро, строители уже ведут проходку тоннелей. Напомню, что пять станций новой ветки появятся как раз на территории нашего округа.</w:t>
      </w:r>
    </w:p>
    <w:p>
      <w:pPr>
        <w:pStyle w:val="BodyText"/>
      </w:pPr>
      <w:r>
        <w:t xml:space="preserve">Завершается и масштабная реконструкция Волоколамского шоссе. В прошлом году появился новый автомобильный мост через Сходню. Строили и будем строить</w:t>
      </w:r>
    </w:p>
    <w:p>
      <w:pPr>
        <w:pStyle w:val="BodyText"/>
      </w:pPr>
      <w:r>
        <w:rPr>
          <w:iCs/>
          <w:i/>
        </w:rPr>
        <w:t xml:space="preserve">— А что со строительством жилья и социальных объектов?</w:t>
      </w:r>
    </w:p>
    <w:p>
      <w:pPr>
        <w:pStyle w:val="BodyText"/>
      </w:pPr>
      <w:r>
        <w:t xml:space="preserve">— Сейчас в округе идёт строительство 107 объектов недвижимости. Эта цифра говорит сама за себя. Примерно половина из этих объектов — жилые дома и апартаменты. И примерно пятая часть — социальные объекты.</w:t>
      </w:r>
    </w:p>
    <w:p>
      <w:pPr>
        <w:pStyle w:val="BodyText"/>
      </w:pPr>
      <w:r>
        <w:t xml:space="preserve">Среди них есть и довольно значимые. Например, ведётся строительство новых корпусов инфекционной больницы №1 на Волоколамском шоссе и взрослой поликлиники на 750 посещений в смену на улице Твардовского. До конца этого года мы планируем сдать в эксплуатацию три школы и четыре детских сада. А в районе Хорошёво-Мнёвники идёт реконструкция кинотеатра «Патриот»: он станет многофункциональным общественным центром. Также строим четыре спортивных объекта, четыре храма.</w:t>
      </w:r>
    </w:p>
    <w:p>
      <w:pPr>
        <w:pStyle w:val="BodyText"/>
      </w:pPr>
      <w:r>
        <w:t xml:space="preserve">Высокие темпы строительства и в рамках программы реновации. Новые квартиры в округе получили более 6 тысяч жителей. Уже завершено переселение жителей в многоэтажки на Парковой улице, на улице Демьяна Бедного и на Туристской. До конца года жильцы отметят новоселье ещё в девяти новостройках.</w:t>
      </w:r>
    </w:p>
    <w:p>
      <w:pPr>
        <w:pStyle w:val="BodyText"/>
      </w:pPr>
      <w:r>
        <w:rPr>
          <w:bCs/>
          <w:b/>
        </w:rPr>
        <w:t xml:space="preserve">Магазинов и кафе стало больше</w:t>
      </w:r>
    </w:p>
    <w:p>
      <w:pPr>
        <w:pStyle w:val="BodyText"/>
      </w:pPr>
      <w:r>
        <w:rPr>
          <w:iCs/>
          <w:i/>
        </w:rPr>
        <w:t xml:space="preserve">— Как вы оцениваете «самочувствие» предприятий торговли и питания? Можно ли ожидать, что не все выживут в новых экономических условиях?</w:t>
      </w:r>
    </w:p>
    <w:p>
      <w:pPr>
        <w:pStyle w:val="BodyText"/>
      </w:pPr>
      <w:r>
        <w:t xml:space="preserve">— Если говорить о динамике, то в этом году она положительная. На конец июня мы отмечаем увеличение числа предприятий розничной торговли на 149 единиц, а предприятий общественного питания — на 157. Весомую роль здесь сыграла поддержка города. Напомню, что с марта этого года предприятия быстрого питания могут получать гранты Правительства Москвы. В зависимости от размера кафе они составляют от 1 до 5 миллионов рублей. В нашем округе к концу июня такой возможностью воспользовались 17 предприятий быстрого питания.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http://szao.mos.ru/prefektura_szao/prefekt/page-prefect/detail/11274499.html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12744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12744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2025-04-15T09:55:15Z</dcterms:created>
  <dcterms:modified xsi:type="dcterms:W3CDTF">2025-04-15T09:55:15Z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