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грамма-12-округов26.04.2013"/>
    <w:p>
      <w:pPr>
        <w:pStyle w:val="Heading3"/>
      </w:pPr>
      <w:r>
        <w:t xml:space="preserve">Программа "12 округов"/26.04.2013</w:t>
      </w:r>
    </w:p>
    <w:p>
      <w:pPr>
        <w:pStyle w:val="FirstParagraph"/>
      </w:pPr>
      <w:r>
        <w:t xml:space="preserve">26.04.2013</w:t>
      </w:r>
    </w:p>
    <w:p>
      <w:pPr>
        <w:pStyle w:val="BodyText"/>
      </w:pPr>
      <w:r>
        <w:t xml:space="preserve">Темы выпуска:</w:t>
      </w:r>
      <w:r>
        <w:br/>
      </w:r>
      <w:r>
        <w:br/>
      </w:r>
      <w:r>
        <w:t xml:space="preserve">- на ул. Народного Ополчения началась комплексная реконструкция;</w:t>
      </w:r>
    </w:p>
    <w:p>
      <w:pPr>
        <w:pStyle w:val="BodyText"/>
      </w:pPr>
      <w:r>
        <w:t xml:space="preserve">- встреча префекта СЗАО с населением;</w:t>
      </w:r>
    </w:p>
    <w:p>
      <w:pPr>
        <w:pStyle w:val="BodyText"/>
      </w:pPr>
      <w:r>
        <w:t xml:space="preserve">- ПКиО "Северное Тушино" ждет глобальная реконструкция;</w:t>
      </w:r>
    </w:p>
    <w:p>
      <w:pPr>
        <w:pStyle w:val="BodyText"/>
      </w:pPr>
      <w:r>
        <w:t xml:space="preserve">- единый информационный центр управления образования СЗАО;</w:t>
      </w:r>
    </w:p>
    <w:p>
      <w:pPr>
        <w:pStyle w:val="BodyText"/>
      </w:pPr>
      <w:r>
        <w:t xml:space="preserve">- Герой Покровского-Стрешнева;</w:t>
      </w:r>
    </w:p>
    <w:p>
      <w:pPr>
        <w:pStyle w:val="BodyText"/>
      </w:pPr>
      <w:r>
        <w:t xml:space="preserve">- Фотовыставка "Рисующие светом".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http://szao.mos.ru/media-icjsc/video/detail/963115.html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63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63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2025-01-17T03:06:17Z</dcterms:created>
  <dcterms:modified xsi:type="dcterms:W3CDTF">2025-01-17T03:06:17Z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