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1ba32f53552de7ca628fe469190886adbbce73"/>
    <w:p>
      <w:pPr>
        <w:pStyle w:val="Heading3"/>
      </w:pPr>
      <w:r>
        <w:t xml:space="preserve">До конца года в Северном Тушине завершат нулевой цикл храма Космы и Дамиана</w:t>
      </w:r>
    </w:p>
    <w:p>
      <w:pPr>
        <w:pStyle w:val="FirstParagraph"/>
      </w:pPr>
      <w:r>
        <w:t xml:space="preserve">30.09.2020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http://szao.mos.ru/media-icjsc/video/detail/9286132.html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media-icjsc/video/detail/92861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media-icjsc/video/detail/92861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2024-09-24T06:35:32Z</dcterms:created>
  <dcterms:modified xsi:type="dcterms:W3CDTF">2024-09-24T06:35:32Z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