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грамма-12-округов28.04.2014"/>
    <w:p>
      <w:pPr>
        <w:pStyle w:val="Heading3"/>
      </w:pPr>
      <w:r>
        <w:t xml:space="preserve">Программа "12 округов"/28.04.2014</w:t>
      </w:r>
    </w:p>
    <w:p>
      <w:pPr>
        <w:pStyle w:val="FirstParagraph"/>
      </w:pPr>
      <w:r>
        <w:t xml:space="preserve">30.04.2014</w:t>
      </w:r>
    </w:p>
    <w:p>
      <w:pPr>
        <w:pStyle w:val="BodyText"/>
      </w:pPr>
      <w:r>
        <w:t xml:space="preserve">Что снесли в парке "Москворецкий"? Уберут ли летом половину ларьков в в Северо-Западном округе? Куда сообщать о завышенных ценах на ярмарках выходного дня? На эти и другие вопросы ответил зампрефекта СЗАО Наталья Романова.   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http://szao.mos.ru/media-icjsc/video/detail/1022570.html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022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022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2025-08-05T22:44:19Z</dcterms:created>
  <dcterms:modified xsi:type="dcterms:W3CDTF">2025-08-05T22:44:19Z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